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3827" w:type="dxa"/>
        <w:tblInd w:w="677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7"/>
      </w:tblGrid>
      <w:tr w14:paraId="2FDDA9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</w:trPr>
        <w:tc>
          <w:tcPr>
            <w:tcW w:w="3827" w:type="dxa"/>
          </w:tcPr>
          <w:p w14:paraId="20C457FE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Приложение № 1</w:t>
            </w:r>
          </w:p>
        </w:tc>
      </w:tr>
      <w:tr w14:paraId="342260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3827" w:type="dxa"/>
          </w:tcPr>
          <w:p w14:paraId="0E31DBB2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 договору строительного подряда</w:t>
            </w:r>
          </w:p>
        </w:tc>
      </w:tr>
      <w:tr w14:paraId="5E4505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3827" w:type="dxa"/>
          </w:tcPr>
          <w:p w14:paraId="56579241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__ ________ 202</w:t>
            </w: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г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№_______</w:t>
            </w:r>
          </w:p>
        </w:tc>
      </w:tr>
    </w:tbl>
    <w:p w14:paraId="3F577E59">
      <w:pPr>
        <w:ind w:left="6480" w:firstLine="2167"/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51898027">
      <w:pPr>
        <w:ind w:left="6480" w:firstLine="2167"/>
        <w:jc w:val="center"/>
        <w:rPr>
          <w:rFonts w:hint="default" w:ascii="Times New Roman" w:hAnsi="Times New Roman" w:cs="Times New Roman"/>
          <w:sz w:val="19"/>
          <w:szCs w:val="19"/>
        </w:rPr>
      </w:pPr>
      <w:r>
        <w:rPr>
          <w:rFonts w:hint="default" w:ascii="Times New Roman" w:hAnsi="Times New Roman" w:cs="Times New Roman"/>
          <w:sz w:val="19"/>
          <w:szCs w:val="19"/>
        </w:rPr>
        <w:t>Форма С-1</w:t>
      </w:r>
    </w:p>
    <w:tbl>
      <w:tblPr>
        <w:tblStyle w:val="7"/>
        <w:tblW w:w="10348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1"/>
        <w:gridCol w:w="425"/>
        <w:gridCol w:w="1843"/>
        <w:gridCol w:w="1559"/>
      </w:tblGrid>
      <w:tr w14:paraId="0FAC8D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652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74BDE51">
            <w:pPr>
              <w:spacing w:before="60"/>
              <w:rPr>
                <w:rFonts w:hint="default" w:ascii="Times New Roman" w:hAnsi="Times New Roman" w:cs="Times New Roman"/>
                <w:b/>
                <w:bCs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9"/>
                <w:szCs w:val="19"/>
              </w:rPr>
              <w:t>Государственное учреждение «Центр по обеспечению деятельности бюджетных организаций администрации Первомайского района г.Минска»</w:t>
            </w:r>
          </w:p>
        </w:tc>
        <w:tc>
          <w:tcPr>
            <w:tcW w:w="425" w:type="dxa"/>
            <w:vAlign w:val="center"/>
          </w:tcPr>
          <w:p w14:paraId="7269CCDE">
            <w:pPr>
              <w:spacing w:before="60"/>
              <w:rPr>
                <w:rFonts w:hint="default"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  <w:vAlign w:val="bottom"/>
          </w:tcPr>
          <w:p w14:paraId="29CE580A">
            <w:pPr>
              <w:spacing w:before="60"/>
              <w:jc w:val="right"/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Код по ОКУД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C91F2">
            <w:pPr>
              <w:spacing w:before="60"/>
              <w:rPr>
                <w:rFonts w:hint="default" w:ascii="Times New Roman" w:hAnsi="Times New Roman" w:cs="Times New Roman"/>
                <w:sz w:val="19"/>
                <w:szCs w:val="19"/>
              </w:rPr>
            </w:pPr>
          </w:p>
        </w:tc>
      </w:tr>
      <w:tr w14:paraId="19EFB3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652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05F7E2C5">
            <w:pPr>
              <w:spacing w:before="60"/>
              <w:jc w:val="center"/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(наименование организации)</w:t>
            </w:r>
          </w:p>
        </w:tc>
        <w:tc>
          <w:tcPr>
            <w:tcW w:w="425" w:type="dxa"/>
            <w:vAlign w:val="center"/>
          </w:tcPr>
          <w:p w14:paraId="0E778DC7">
            <w:pPr>
              <w:spacing w:before="60"/>
              <w:rPr>
                <w:rFonts w:hint="default"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40164A05">
            <w:pPr>
              <w:spacing w:before="60"/>
              <w:rPr>
                <w:rFonts w:hint="default"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2880B">
            <w:pPr>
              <w:autoSpaceDE/>
              <w:autoSpaceDN/>
              <w:rPr>
                <w:rFonts w:hint="default" w:ascii="Times New Roman" w:hAnsi="Times New Roman" w:cs="Times New Roman"/>
                <w:sz w:val="19"/>
                <w:szCs w:val="19"/>
              </w:rPr>
            </w:pPr>
          </w:p>
        </w:tc>
      </w:tr>
    </w:tbl>
    <w:p w14:paraId="53E1E821">
      <w:pPr>
        <w:pStyle w:val="10"/>
        <w:tabs>
          <w:tab w:val="left" w:pos="708"/>
        </w:tabs>
        <w:rPr>
          <w:rFonts w:hint="default" w:ascii="Times New Roman" w:hAnsi="Times New Roman" w:cs="Times New Roman"/>
          <w:sz w:val="19"/>
          <w:szCs w:val="19"/>
        </w:rPr>
      </w:pPr>
      <w:r>
        <w:rPr>
          <w:rFonts w:hint="default" w:ascii="Times New Roman" w:hAnsi="Times New Roman" w:cs="Times New Roman"/>
          <w:sz w:val="19"/>
          <w:szCs w:val="19"/>
          <w:u w:val="single"/>
          <w:lang w:val="en-US"/>
        </w:rPr>
        <w:t xml:space="preserve">                                                                                                                             </w:t>
      </w:r>
    </w:p>
    <w:tbl>
      <w:tblPr>
        <w:tblStyle w:val="13"/>
        <w:tblW w:w="0" w:type="auto"/>
        <w:tblInd w:w="572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9"/>
      </w:tblGrid>
      <w:tr w14:paraId="1360A8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9" w:type="dxa"/>
          </w:tcPr>
          <w:p w14:paraId="0692F366">
            <w:pPr>
              <w:pStyle w:val="10"/>
              <w:tabs>
                <w:tab w:val="left" w:pos="708"/>
              </w:tabs>
              <w:rPr>
                <w:rFonts w:hint="default" w:ascii="Times New Roman" w:hAnsi="Times New Roman" w:cs="Times New Roman"/>
                <w:b/>
                <w:bCs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9"/>
                <w:szCs w:val="19"/>
                <w:lang w:val="en-US"/>
              </w:rPr>
              <w:t xml:space="preserve">                            </w:t>
            </w:r>
            <w:r>
              <w:rPr>
                <w:rFonts w:hint="default" w:ascii="Times New Roman" w:hAnsi="Times New Roman" w:cs="Times New Roman"/>
                <w:b/>
                <w:bCs/>
                <w:sz w:val="19"/>
                <w:szCs w:val="19"/>
              </w:rPr>
              <w:t>УТВЕРЖДАЮ</w:t>
            </w:r>
          </w:p>
        </w:tc>
      </w:tr>
      <w:tr w14:paraId="572F1D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9" w:type="dxa"/>
          </w:tcPr>
          <w:p w14:paraId="6CE7A94B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u w:val="single"/>
              </w:rPr>
              <w:t>Управляющий                                 Г. В. Меркуль</w:t>
            </w:r>
          </w:p>
        </w:tc>
      </w:tr>
      <w:tr w14:paraId="035492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9" w:type="dxa"/>
          </w:tcPr>
          <w:p w14:paraId="469CABF9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(должность)         (подпись)      (инициалы,фамилия)</w:t>
            </w:r>
          </w:p>
        </w:tc>
      </w:tr>
      <w:tr w14:paraId="261E80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9" w:type="dxa"/>
          </w:tcPr>
          <w:p w14:paraId="168085CD">
            <w:pPr>
              <w:jc w:val="center"/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«</w:t>
            </w:r>
            <w:r>
              <w:rPr>
                <w:rFonts w:hint="default" w:ascii="Times New Roman" w:hAnsi="Times New Roman" w:cs="Times New Roman"/>
                <w:sz w:val="19"/>
                <w:szCs w:val="19"/>
                <w:u w:val="single"/>
              </w:rPr>
              <w:t xml:space="preserve">    </w:t>
            </w:r>
            <w:r>
              <w:rPr>
                <w:rFonts w:hint="default" w:ascii="Times New Roman" w:hAnsi="Times New Roman" w:cs="Times New Roman"/>
                <w:sz w:val="19"/>
                <w:szCs w:val="19"/>
              </w:rPr>
              <w:t>»                   20</w:t>
            </w:r>
            <w:r>
              <w:rPr>
                <w:rFonts w:hint="default" w:ascii="Times New Roman" w:hAnsi="Times New Roman" w:cs="Times New Roman"/>
                <w:sz w:val="19"/>
                <w:szCs w:val="19"/>
                <w:u w:val="single"/>
              </w:rPr>
              <w:t xml:space="preserve"> 2</w:t>
            </w:r>
            <w:r>
              <w:rPr>
                <w:rFonts w:hint="default" w:ascii="Times New Roman" w:hAnsi="Times New Roman" w:cs="Times New Roman"/>
                <w:sz w:val="19"/>
                <w:szCs w:val="19"/>
                <w:u w:val="single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sz w:val="19"/>
                <w:szCs w:val="19"/>
                <w:u w:val="singl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9"/>
                <w:szCs w:val="19"/>
              </w:rPr>
              <w:t>г.</w:t>
            </w:r>
          </w:p>
        </w:tc>
      </w:tr>
    </w:tbl>
    <w:p w14:paraId="5BFBB4CF">
      <w:pPr>
        <w:pStyle w:val="3"/>
        <w:rPr>
          <w:rFonts w:hint="default" w:ascii="Times New Roman" w:hAnsi="Times New Roman" w:cs="Times New Roman"/>
          <w:b/>
          <w:bCs/>
          <w:sz w:val="19"/>
          <w:szCs w:val="19"/>
          <w:lang w:val="ru-RU"/>
        </w:rPr>
      </w:pPr>
      <w:r>
        <w:rPr>
          <w:rFonts w:hint="default" w:ascii="Times New Roman" w:hAnsi="Times New Roman" w:cs="Times New Roman"/>
          <w:b/>
          <w:bCs/>
          <w:sz w:val="19"/>
          <w:szCs w:val="19"/>
        </w:rPr>
        <w:t>ДЕФЕКТНЫЙ АКТ</w:t>
      </w:r>
      <w:r>
        <w:rPr>
          <w:rFonts w:hint="default" w:cs="Times New Roman"/>
          <w:b/>
          <w:bCs/>
          <w:sz w:val="19"/>
          <w:szCs w:val="19"/>
          <w:lang w:val="ru-RU"/>
        </w:rPr>
        <w:t xml:space="preserve"> №2</w:t>
      </w:r>
    </w:p>
    <w:p w14:paraId="2A1C40BF">
      <w:pPr>
        <w:jc w:val="both"/>
        <w:rPr>
          <w:rFonts w:hint="default" w:ascii="Times New Roman" w:hAnsi="Times New Roman" w:cs="Times New Roman"/>
          <w:sz w:val="19"/>
          <w:szCs w:val="19"/>
        </w:rPr>
      </w:pPr>
      <w:r>
        <w:rPr>
          <w:rFonts w:hint="default" w:ascii="Times New Roman" w:hAnsi="Times New Roman" w:cs="Times New Roman"/>
          <w:sz w:val="19"/>
          <w:szCs w:val="19"/>
        </w:rPr>
        <w:t xml:space="preserve">Комиссия, образованна в соответствии с приказом от </w:t>
      </w:r>
      <w:r>
        <w:rPr>
          <w:rFonts w:hint="default" w:ascii="Times New Roman" w:hAnsi="Times New Roman" w:cs="Times New Roman"/>
          <w:sz w:val="19"/>
          <w:szCs w:val="19"/>
          <w:lang w:val="ru-RU"/>
        </w:rPr>
        <w:t>05</w:t>
      </w:r>
      <w:r>
        <w:rPr>
          <w:rFonts w:hint="default" w:ascii="Times New Roman" w:hAnsi="Times New Roman" w:cs="Times New Roman"/>
          <w:color w:val="FF0000"/>
          <w:sz w:val="19"/>
          <w:szCs w:val="19"/>
        </w:rPr>
        <w:t>.0</w:t>
      </w:r>
      <w:r>
        <w:rPr>
          <w:rFonts w:hint="default" w:ascii="Times New Roman" w:hAnsi="Times New Roman" w:cs="Times New Roman"/>
          <w:color w:val="FF0000"/>
          <w:sz w:val="19"/>
          <w:szCs w:val="19"/>
          <w:lang w:val="ru-RU"/>
        </w:rPr>
        <w:t>1</w:t>
      </w:r>
      <w:r>
        <w:rPr>
          <w:rFonts w:hint="default" w:ascii="Times New Roman" w:hAnsi="Times New Roman" w:cs="Times New Roman"/>
          <w:color w:val="FF0000"/>
          <w:sz w:val="19"/>
          <w:szCs w:val="19"/>
        </w:rPr>
        <w:t>.202</w:t>
      </w:r>
      <w:r>
        <w:rPr>
          <w:rFonts w:hint="default" w:ascii="Times New Roman" w:hAnsi="Times New Roman" w:cs="Times New Roman"/>
          <w:color w:val="FF0000"/>
          <w:sz w:val="19"/>
          <w:szCs w:val="19"/>
          <w:lang w:val="ru-RU"/>
        </w:rPr>
        <w:t>6</w:t>
      </w:r>
      <w:r>
        <w:rPr>
          <w:rFonts w:hint="default" w:ascii="Times New Roman" w:hAnsi="Times New Roman" w:cs="Times New Roman"/>
          <w:color w:val="FF0000"/>
          <w:sz w:val="19"/>
          <w:szCs w:val="19"/>
        </w:rPr>
        <w:t xml:space="preserve"> №1-</w:t>
      </w:r>
      <w:r>
        <w:rPr>
          <w:rFonts w:hint="default" w:ascii="Times New Roman" w:hAnsi="Times New Roman" w:cs="Times New Roman"/>
          <w:color w:val="FF0000"/>
          <w:sz w:val="19"/>
          <w:szCs w:val="19"/>
          <w:lang w:val="ru-RU"/>
        </w:rPr>
        <w:t>5</w:t>
      </w:r>
      <w:r>
        <w:rPr>
          <w:rFonts w:hint="default" w:ascii="Times New Roman" w:hAnsi="Times New Roman" w:cs="Times New Roman"/>
          <w:color w:val="FF0000"/>
          <w:sz w:val="19"/>
          <w:szCs w:val="19"/>
        </w:rPr>
        <w:t>/</w:t>
      </w:r>
      <w:r>
        <w:rPr>
          <w:rFonts w:hint="default" w:ascii="Times New Roman" w:hAnsi="Times New Roman" w:cs="Times New Roman"/>
          <w:color w:val="FF0000"/>
          <w:sz w:val="19"/>
          <w:szCs w:val="19"/>
          <w:lang w:val="ru-RU"/>
        </w:rPr>
        <w:t>1 (изм. от 21.01.2026 №1-5/17)</w:t>
      </w:r>
      <w:r>
        <w:rPr>
          <w:rFonts w:hint="default" w:ascii="Times New Roman" w:hAnsi="Times New Roman" w:cs="Times New Roman"/>
          <w:color w:val="FF0000"/>
          <w:sz w:val="19"/>
          <w:szCs w:val="19"/>
        </w:rPr>
        <w:t xml:space="preserve">  </w:t>
      </w:r>
      <w:r>
        <w:rPr>
          <w:rFonts w:hint="default" w:ascii="Times New Roman" w:hAnsi="Times New Roman" w:cs="Times New Roman"/>
          <w:sz w:val="19"/>
          <w:szCs w:val="19"/>
        </w:rPr>
        <w:t>в составе:</w:t>
      </w:r>
    </w:p>
    <w:tbl>
      <w:tblPr>
        <w:tblStyle w:val="7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4678"/>
        <w:gridCol w:w="1984"/>
      </w:tblGrid>
      <w:tr w14:paraId="5B044C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 w14:paraId="2EBF7AA8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председателя комиссии:</w:t>
            </w:r>
          </w:p>
        </w:tc>
        <w:tc>
          <w:tcPr>
            <w:tcW w:w="4678" w:type="dxa"/>
            <w:tcBorders>
              <w:bottom w:val="single" w:color="auto" w:sz="4" w:space="0"/>
            </w:tcBorders>
          </w:tcPr>
          <w:p w14:paraId="1E9D3583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 xml:space="preserve">Начальник 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 xml:space="preserve">управления </w:t>
            </w:r>
            <w:r>
              <w:rPr>
                <w:rFonts w:hint="default" w:ascii="Times New Roman" w:hAnsi="Times New Roman" w:cs="Times New Roman"/>
                <w:sz w:val="19"/>
                <w:szCs w:val="19"/>
              </w:rPr>
              <w:t>ЦХО</w:t>
            </w:r>
          </w:p>
        </w:tc>
        <w:tc>
          <w:tcPr>
            <w:tcW w:w="1984" w:type="dxa"/>
            <w:tcBorders>
              <w:bottom w:val="single" w:color="auto" w:sz="4" w:space="0"/>
            </w:tcBorders>
          </w:tcPr>
          <w:p w14:paraId="19BE6F7D">
            <w:pP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И.С.Бугакова</w:t>
            </w:r>
          </w:p>
        </w:tc>
      </w:tr>
      <w:tr w14:paraId="5DD325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 w14:paraId="517DFFBE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членов комиссии:</w:t>
            </w:r>
          </w:p>
        </w:tc>
        <w:tc>
          <w:tcPr>
            <w:tcW w:w="4678" w:type="dxa"/>
            <w:tcBorders>
              <w:bottom w:val="single" w:color="auto" w:sz="4" w:space="0"/>
            </w:tcBorders>
          </w:tcPr>
          <w:p w14:paraId="230BA337">
            <w:pP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Заместитель начальника</w:t>
            </w:r>
          </w:p>
        </w:tc>
        <w:tc>
          <w:tcPr>
            <w:tcW w:w="1984" w:type="dxa"/>
            <w:tcBorders>
              <w:bottom w:val="single" w:color="auto" w:sz="4" w:space="0"/>
            </w:tcBorders>
          </w:tcPr>
          <w:p w14:paraId="1200F508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Ю.М.Заграбский</w:t>
            </w:r>
          </w:p>
        </w:tc>
      </w:tr>
      <w:tr w14:paraId="1A5FC7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top w:val="single" w:color="auto" w:sz="4" w:space="0"/>
            </w:tcBorders>
          </w:tcPr>
          <w:p w14:paraId="02B4FBA3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61A8ACE9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0405065C">
            <w:pP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Д.С.Голушко</w:t>
            </w:r>
          </w:p>
        </w:tc>
      </w:tr>
      <w:tr w14:paraId="673946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</w:tcPr>
          <w:p w14:paraId="6108606F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27045BB6">
            <w:pPr>
              <w:tabs>
                <w:tab w:val="center" w:pos="3223"/>
              </w:tabs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0D55AF3C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О.И.Дубина</w:t>
            </w:r>
          </w:p>
        </w:tc>
      </w:tr>
    </w:tbl>
    <w:p w14:paraId="63C79DF8">
      <w:pPr>
        <w:jc w:val="both"/>
        <w:rPr>
          <w:rFonts w:hint="default" w:ascii="Times New Roman" w:hAnsi="Times New Roman" w:cs="Times New Roman"/>
          <w:sz w:val="19"/>
          <w:szCs w:val="19"/>
        </w:rPr>
      </w:pPr>
      <w:r>
        <w:rPr>
          <w:rFonts w:hint="default" w:ascii="Times New Roman" w:hAnsi="Times New Roman" w:cs="Times New Roman"/>
          <w:sz w:val="19"/>
          <w:szCs w:val="19"/>
        </w:rPr>
        <w:t>составила настоящий акт в том, что в результате обследования объекта:</w:t>
      </w:r>
    </w:p>
    <w:tbl>
      <w:tblPr>
        <w:tblStyle w:val="7"/>
        <w:tblW w:w="10490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 w14:paraId="6232C0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1049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D88180A">
            <w:pPr>
              <w:jc w:val="center"/>
              <w:rPr>
                <w:rFonts w:hint="default" w:ascii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9"/>
                <w:szCs w:val="19"/>
                <w:lang w:val="ru-RU"/>
              </w:rPr>
              <w:t xml:space="preserve">Государственное учреждении образования "Центр дополнительного образования детей и молодежи "АРТ" г.Минска", Минская обл., Воложинский р-н, Раковский с/с, д. Полочанка </w:t>
            </w:r>
          </w:p>
        </w:tc>
      </w:tr>
      <w:tr w14:paraId="73AF77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10490" w:type="dxa"/>
            <w:tcBorders>
              <w:top w:val="single" w:color="auto" w:sz="4" w:space="0"/>
              <w:left w:val="nil"/>
              <w:right w:val="nil"/>
            </w:tcBorders>
            <w:vAlign w:val="center"/>
          </w:tcPr>
          <w:p w14:paraId="4082863F">
            <w:pPr>
              <w:spacing w:before="60"/>
              <w:jc w:val="center"/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(наименование объекта)</w:t>
            </w:r>
          </w:p>
        </w:tc>
      </w:tr>
      <w:tr w14:paraId="30A088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0490" w:type="dxa"/>
            <w:tcBorders>
              <w:left w:val="nil"/>
              <w:right w:val="nil"/>
            </w:tcBorders>
          </w:tcPr>
          <w:p w14:paraId="34E72254">
            <w:pPr>
              <w:jc w:val="both"/>
              <w:rPr>
                <w:rFonts w:hint="default" w:cs="Times New Roman"/>
                <w:color w:val="auto"/>
                <w:sz w:val="19"/>
                <w:szCs w:val="19"/>
                <w:highlight w:val="none"/>
                <w:lang w:val="en-US"/>
              </w:rPr>
            </w:pPr>
            <w:r>
              <w:rPr>
                <w:rFonts w:hint="default" w:cs="Times New Roman"/>
                <w:color w:val="auto"/>
                <w:sz w:val="19"/>
                <w:szCs w:val="19"/>
                <w:highlight w:val="none"/>
                <w:lang w:val="ru-RU"/>
              </w:rPr>
              <w:t>У</w:t>
            </w:r>
            <w:r>
              <w:rPr>
                <w:rFonts w:hint="default" w:ascii="Times New Roman" w:hAnsi="Times New Roman" w:cs="Times New Roman"/>
                <w:color w:val="auto"/>
                <w:sz w:val="19"/>
                <w:szCs w:val="19"/>
                <w:highlight w:val="none"/>
              </w:rPr>
              <w:t>становлено,</w:t>
            </w:r>
            <w:r>
              <w:rPr>
                <w:rFonts w:hint="default" w:ascii="Times New Roman" w:hAnsi="Times New Roman" w:cs="Times New Roman"/>
                <w:color w:val="auto"/>
                <w:sz w:val="19"/>
                <w:szCs w:val="19"/>
                <w:highlight w:val="none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19"/>
                <w:szCs w:val="19"/>
                <w:highlight w:val="none"/>
                <w:lang w:val="ru-RU"/>
              </w:rPr>
              <w:t>что</w:t>
            </w:r>
            <w:r>
              <w:rPr>
                <w:rFonts w:hint="default" w:cs="Times New Roman"/>
                <w:color w:val="auto"/>
                <w:sz w:val="19"/>
                <w:szCs w:val="19"/>
                <w:highlight w:val="none"/>
                <w:lang w:val="ru-RU"/>
              </w:rPr>
              <w:t xml:space="preserve"> во втором подъезде здания общежития</w:t>
            </w:r>
            <w:r>
              <w:rPr>
                <w:rFonts w:hint="default" w:cs="Times New Roman"/>
                <w:color w:val="auto"/>
                <w:sz w:val="19"/>
                <w:szCs w:val="19"/>
                <w:highlight w:val="none"/>
                <w:lang w:val="en-US"/>
              </w:rPr>
              <w:t>:</w:t>
            </w:r>
          </w:p>
          <w:p w14:paraId="4B8A93BF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Потолки в жилых комнатах первого этажа площадью 143,5 м² имеют отслоение и шелушение старого окрасочного слоя, следы протечек, загрязнения, копоть, выкрашивание штукатурного слоя, неровности, трещины в местах примыкания.</w:t>
            </w:r>
          </w:p>
          <w:p w14:paraId="63433BE0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Потолки в кухнях первого этажа площадью 26 м² имеют отслоения краски, следы протечек, жировые и копотные загрязнения, выкрашивание штукатурки.</w:t>
            </w:r>
          </w:p>
          <w:p w14:paraId="59739759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Потолки в санузлах первого этажа площадью 26 м² имеют следы протечек, отслоение краски, воздействие влаги, плесень.</w:t>
            </w:r>
          </w:p>
          <w:p w14:paraId="25CE5447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Потолки в коридорах первого этажа площадью 26 м² имеют отслоение и шелушение старого окрасочного слоя, следы протечек, загрязнения, копоть, выкрашивание штукатурного слоя, неровности, трещины в местах примыкания.</w:t>
            </w:r>
          </w:p>
          <w:p w14:paraId="6EAF8085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Потолки в жилых комнатах второго этажа площадью 143,5 м² имеют следы протечек с кровли, жёлтые пятна, вздутия и отслоения штукатурного слоя, шелушение краски, сажевые загрязнения, неровности, трещины в местах примыкания.</w:t>
            </w:r>
          </w:p>
          <w:p w14:paraId="1DFD507D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Потолки в кухнях второго этажа площадью 26 м² имеют следы копоти, жировые отложения, обрушение штукатурки.</w:t>
            </w:r>
          </w:p>
          <w:p w14:paraId="1F850824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Потолки в санузлах второго этажа площадью 26 м² имеют следы протечек, плесень, отслоение краски.</w:t>
            </w:r>
          </w:p>
          <w:p w14:paraId="2422CE27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Потолки в коридорах второго этажа площадью 26 м² имеют отслоение краски, следы протечек, загрязнения.</w:t>
            </w:r>
          </w:p>
          <w:p w14:paraId="4557395E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Потолки в местах общего пользования на лестничном марше площадью 36 м² имеют следы протечек, отслоение краски.</w:t>
            </w:r>
          </w:p>
          <w:p w14:paraId="220D8141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Потолки в подвальном помещении имеют следы протечек, отслоение краски, загрязнения.</w:t>
            </w:r>
          </w:p>
          <w:p w14:paraId="5EFA4DEA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Обои на стенах жилых комнат первого этажа площадью 440 м² имеют отслоения, пузыри, разрывы, расхождение стыков, загрязнения.</w:t>
            </w:r>
          </w:p>
          <w:p w14:paraId="19BBDAF7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Штукатурка стен на площади 70 м² в жилых комнатах первого этажа имеет выбоины, щели, сколы, отслоения.</w:t>
            </w:r>
          </w:p>
          <w:p w14:paraId="269A6847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Поверхность стен на площади 440 м² в жилых комнатах первого этажа имеет неровности, отклонения от вертикали, перепады высот.</w:t>
            </w:r>
          </w:p>
          <w:p w14:paraId="0B8E543B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Обои на стенах кухонь первого этажа площадью 46 м² имеют повреждения, отслоение, жировые загрязнения.</w:t>
            </w:r>
          </w:p>
          <w:p w14:paraId="507B0D92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Штукатурный слой на площади 5 м² в кухнях первого этажа имеет выбоины, щели.</w:t>
            </w:r>
          </w:p>
          <w:p w14:paraId="43A702A6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Поверхность стен на площади 46 м² в кухнях первого этажа имеет неровности.</w:t>
            </w:r>
          </w:p>
          <w:p w14:paraId="16A518BF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Керамическая плитка на стенах кухонь первого этажа на площади 45,4 м² имеет трещины, сколы, отслоения, разрушение затирки.</w:t>
            </w:r>
          </w:p>
          <w:p w14:paraId="1361F481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Керамическая плитка на стенах санузлов первого этажа на площади 46 м² имеет трещины, сколы, отслоения, разрушение затирки.</w:t>
            </w:r>
          </w:p>
          <w:p w14:paraId="56790516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Обои на стенах коридоров первого этажа площадью 57,5 м² имеют отслоения, пузыри, разрывы, расхождение стыков, загрязнения.</w:t>
            </w:r>
          </w:p>
          <w:p w14:paraId="1E66F5BE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Штукатурка стен на площади 7,65 м² в коридорах первого этажа имеет выбоины, щели, сколы.</w:t>
            </w:r>
          </w:p>
          <w:p w14:paraId="34BA5199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Поверхность стен на площади 57,5 м² в коридорах первого этажа имеет неровности, отклонения от вертикали, перепады высот.</w:t>
            </w:r>
          </w:p>
          <w:p w14:paraId="18253DFE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Обои на стенах жилых комнат второго этажа площадью 440 м² отходят от стен целыми полотнищами, имеют разрывы, следы плесени в углах, отслоения в нижней части стен.</w:t>
            </w:r>
          </w:p>
          <w:p w14:paraId="124AB156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Штукатурный слой на площади 70 м² в жилых комнатах второго этажа имеет глубокие трещины, обрушения до кирпичной кладки.</w:t>
            </w:r>
          </w:p>
          <w:p w14:paraId="25839FC2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Поверхность стен жилых комнат второго этажа имеет значительные отклонения от вертикали.</w:t>
            </w:r>
          </w:p>
          <w:p w14:paraId="16873798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Обои на стенах кухонь второго этажа площадью 46 м² имеют жировые загрязнения, отслоения.</w:t>
            </w:r>
          </w:p>
          <w:p w14:paraId="74D42D33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Штукатурный слой на площади 5 м² в кухнях второго этажа имеет глубокие выбоины.</w:t>
            </w:r>
          </w:p>
          <w:p w14:paraId="0A4006DB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Поверхность стен кухонь второго этажа имеет неровности.</w:t>
            </w:r>
          </w:p>
          <w:p w14:paraId="3BD1EF15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Керамическая плитка на стенах кухонь второго этажа на площади 45,4 м² имеет трещины, отслоения, сколы, разрушение затирки.</w:t>
            </w:r>
          </w:p>
          <w:p w14:paraId="04530A13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Керамическая плитка на стенах санузлов второго этажа на площади 46 м² имеет трещины, сколы, отслоения, разрушение затирки.</w:t>
            </w:r>
          </w:p>
          <w:p w14:paraId="2CD6A946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Обои на стенах коридоров второго этажа площадью 57,5 м² имеют пузыри, разрывы, загрязнения.</w:t>
            </w:r>
          </w:p>
          <w:p w14:paraId="6DC1F0F0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Штукатурка стен на площади 7,65 м² в коридорах второго этажа имеет выбоины, щели, сколы.</w:t>
            </w:r>
          </w:p>
          <w:p w14:paraId="7314C8E5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Поверхность стен в коридорах второго этажа имеет неровности.</w:t>
            </w:r>
          </w:p>
          <w:p w14:paraId="2A93BE37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Стены в местах общего пользования на лестничном марше площадью 82 м² имеют выбоины, щели, сколы, нарушение ровности.</w:t>
            </w:r>
          </w:p>
          <w:p w14:paraId="3C264010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Напольное покрытие в жилых комнатах первого этажа площадью 158 м² имеет истирание, разрывы, вздутия, отслоение, расхождение швов.</w:t>
            </w:r>
          </w:p>
          <w:p w14:paraId="103F9F14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Деревянные плинтусы в жилых комнатах первого этажа в количестве 180 м имеют сколы, трещины, отстают от стен.</w:t>
            </w:r>
          </w:p>
          <w:p w14:paraId="4CE93262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Керамическая плитка полов в кухнях первого этажа площадью 25 м² имеет трещины, сколы, отслоения.</w:t>
            </w:r>
          </w:p>
          <w:p w14:paraId="20713DC1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Керамическая плитка полов в санузлах первого этажа площадью 25 м² имеет трещины, сколы, отслоения.</w:t>
            </w:r>
          </w:p>
          <w:p w14:paraId="78B38361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Напольное покрытие в коридорах первого этажа площадью 21,5 м² имеет истирание, разрывы, вздутия.</w:t>
            </w:r>
          </w:p>
          <w:p w14:paraId="5FEC0600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Напольное покрытие в жилых комнатах второго этажа площадью 158 м² имеет разрывы в зонах интенсивного движения, следы прожогов, потертости до основания, вздутия от влаги.</w:t>
            </w:r>
          </w:p>
          <w:p w14:paraId="731E2F1D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Керамическая плитка полов в кухнях второго этажа площадью 25 м² имеет трещины, сколы, отслоения.</w:t>
            </w:r>
          </w:p>
          <w:p w14:paraId="609B32AD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Керамическая плитка полов в санузлах второго этажа площадью 25 м² имеет трещины, сколы, отслоения.</w:t>
            </w:r>
          </w:p>
          <w:p w14:paraId="627A4AFF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Напольное покрытие в коридорах второго этажа площадью 21,5 м² имеет истирание, разрывы, вздутия.</w:t>
            </w:r>
          </w:p>
          <w:p w14:paraId="629D0BB1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Оконные блоки на первом этаже площадью 35,4 м² имеют гниль, трещины, деформацию переплетов, разрушение штапиков, зазоры.</w:t>
            </w:r>
          </w:p>
          <w:p w14:paraId="4C3E00A5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Деревянные межкомнатные двери на первом этаже площадью 37,8 м² имеют повреждения полотен, износ, нарушение геометрии, ослабление креплений.</w:t>
            </w:r>
          </w:p>
          <w:p w14:paraId="130BF88C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Деревянные межкомнатные двери на втором этаже площадью 37,8 м² имеют деформацию полотен, коробление, перекос, износ, плохое закрывание и открывание.</w:t>
            </w:r>
          </w:p>
          <w:p w14:paraId="3705F886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Умывальники на кухн</w:t>
            </w:r>
            <w:r>
              <w:rPr>
                <w:rFonts w:hint="default" w:cs="Times New Roman"/>
                <w:sz w:val="19"/>
                <w:szCs w:val="19"/>
                <w:lang w:val="ru-RU"/>
              </w:rPr>
              <w:t>е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 xml:space="preserve"> первого этажа в количестве 3 шт имеют трещины и сколы эмали, коррозию креплений, нарушение герметичности.</w:t>
            </w:r>
          </w:p>
          <w:p w14:paraId="36D25C26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Смесители для умывальников на кухн</w:t>
            </w:r>
            <w:r>
              <w:rPr>
                <w:rFonts w:hint="default" w:cs="Times New Roman"/>
                <w:sz w:val="19"/>
                <w:szCs w:val="19"/>
                <w:lang w:val="ru-RU"/>
              </w:rPr>
              <w:t>е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 xml:space="preserve"> первого этажа в количестве 3 шт имеют разрушение хромированного покрытия, износ и деформацию уплотнительных прокладок и картриджей, подтекание воды.</w:t>
            </w:r>
          </w:p>
          <w:p w14:paraId="7D3BA3CE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Гибкие подводки на кухн</w:t>
            </w:r>
            <w:r>
              <w:rPr>
                <w:rFonts w:hint="default" w:cs="Times New Roman"/>
                <w:sz w:val="19"/>
                <w:szCs w:val="19"/>
                <w:lang w:val="ru-RU"/>
              </w:rPr>
              <w:t>е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 xml:space="preserve"> первого этажа в количестве 3 шт имеют нарушение целостности оплётки, разрушение резинового рукава, коррозию гаек.</w:t>
            </w:r>
          </w:p>
          <w:p w14:paraId="3F2B6BE1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Сифоны на кухн</w:t>
            </w:r>
            <w:r>
              <w:rPr>
                <w:rFonts w:hint="default" w:cs="Times New Roman"/>
                <w:sz w:val="19"/>
                <w:szCs w:val="19"/>
                <w:lang w:val="ru-RU"/>
              </w:rPr>
              <w:t>е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 xml:space="preserve"> первого этажа в количестве 3 шт имеют трещины корпусов, разрушение уплотнительных прокладок, нарушение герметичности.</w:t>
            </w:r>
          </w:p>
          <w:p w14:paraId="471D7437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Умывальники в санузлах первого этажа в количестве 2 шт имеют трещины и сколы эмали, коррозию креплений, нарушение герметичности.</w:t>
            </w:r>
          </w:p>
          <w:p w14:paraId="49A82B87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Унитазы в санузлах первого этажа в количестве 2 шт имеют трещины на чаше и бачке, сколы эмали, неисправную сливную арматуру, заедание кнопки смыва, подтекание воды.</w:t>
            </w:r>
          </w:p>
          <w:p w14:paraId="523EDD63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Ванны стальные в санузлах первого этажа в количестве 2 шт имеют сколы и царапины эмалевого покрытия, отслоение эмали, коррозию, течь.</w:t>
            </w:r>
          </w:p>
          <w:p w14:paraId="114A3CFE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Умывальники на кухн</w:t>
            </w:r>
            <w:r>
              <w:rPr>
                <w:rFonts w:hint="default" w:cs="Times New Roman"/>
                <w:sz w:val="19"/>
                <w:szCs w:val="19"/>
                <w:lang w:val="ru-RU"/>
              </w:rPr>
              <w:t>е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 xml:space="preserve"> второго этажа в количестве 3 шт имеют трещины и сколы эмали, коррозию креплений, нарушение герметичности.</w:t>
            </w:r>
          </w:p>
          <w:p w14:paraId="79B6A1E9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Умывальники в санузлах второго этажа в количестве 2 шт имеют трещины и сколы эмали, коррозию креплений, нарушение герметичности.</w:t>
            </w:r>
          </w:p>
          <w:p w14:paraId="6FE14039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Унитазы в санузлах второго этажа в количестве 2 шт имеют трещины на чаше и бачке, неисправную арматуру, течь.</w:t>
            </w:r>
          </w:p>
          <w:p w14:paraId="3A1F18D4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Ванны стальные в санузлах второго этажа в количестве 2 шт имеют повреждения эмали, коррозию, течь.</w:t>
            </w:r>
          </w:p>
          <w:p w14:paraId="54B0EC21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cs="Times New Roman"/>
                <w:sz w:val="19"/>
                <w:szCs w:val="19"/>
                <w:lang w:val="ru-RU"/>
              </w:rPr>
              <w:t>Стальные т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рубопроводы водоснабжения  диаметром 20 мм общей протяжённостью 60 м имеют коррозию, свищи, отложения, нарушение герметичности соединений.</w:t>
            </w:r>
          </w:p>
          <w:p w14:paraId="5982E173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Чугунные канализационные трубы диаметром 50 мм протяжённостью 30 м и диаметром 100 мм протяжённостью 24 м имеют коррозию, свищи, трещины, разрушение раструбных соединений, зарастание просвета, протечки.</w:t>
            </w:r>
          </w:p>
          <w:p w14:paraId="5498117E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cs="Times New Roman"/>
                <w:sz w:val="19"/>
                <w:szCs w:val="19"/>
                <w:lang w:val="ru-RU"/>
              </w:rPr>
              <w:t>Шаровые краны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 xml:space="preserve"> в количестве 126 шт имеют повреждения, течь.</w:t>
            </w:r>
          </w:p>
          <w:p w14:paraId="304B375A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Светильники с люминесцентными лампами в жилых комнатах первого этажа в количестве 24 шт имеют повреждения корпусов, трещины, сколы, разрушение отражателей, неисправные пускорегулирующие аппараты, гудение, запах гари, самопроизвольное отключение, перегоревшие лампы, ослабление контактов.</w:t>
            </w:r>
          </w:p>
          <w:p w14:paraId="57C5B9BD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Электрическая проводка в жилых комнатах первого этажа выполнена алюминиевыми проводами, изоляция имеет растрескивание, осыпание, потерю эластичности, оголение жил.</w:t>
            </w:r>
          </w:p>
          <w:p w14:paraId="22229847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Вводные кабели в жилых комнатах первого этажа в количестве 418,2 м имеют повреждения изоляции, следы перегрева.</w:t>
            </w:r>
          </w:p>
          <w:p w14:paraId="5FBDBC81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Светильники на кухнях первого этажа в количестве 6 шт имеют повреждения корпусов, неисправные ПРА, перегоревшие лампы, следы воздействия влаги и жировых отложений.</w:t>
            </w:r>
          </w:p>
          <w:p w14:paraId="26B6DB84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Кабели питания кухонь первого этажа в количестве 30,6 м имеют повреждения изоляции.</w:t>
            </w:r>
          </w:p>
          <w:p w14:paraId="1DC29553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Светильники в санузлах первого этажа в количестве 3 шт имеют повреждения корпусов, следы воздействия влаги, коррозию контактов, неисправные ПРА, перегоревшие лампы.</w:t>
            </w:r>
          </w:p>
          <w:p w14:paraId="19FE75AF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Кабели питания санузлов первого этажа имеют повреждения изоляции вследствие воздействия влаги.</w:t>
            </w:r>
          </w:p>
          <w:p w14:paraId="695D4528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Светильники в коридорах первого этажа в количестве 4 шт имеют повреждения корпусов, отражателей, неисправные ПРА, перегоревшие лампы.</w:t>
            </w:r>
          </w:p>
          <w:p w14:paraId="4AAF8446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Кабели в коридорах первого этажа в количестве 224,4 м имеют повреждения изоляции, следы перегрева.</w:t>
            </w:r>
          </w:p>
          <w:p w14:paraId="0CB46F2E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Светильники в жилых комнатах второго этажа в количестве 24 шт имеют повреждения корпусов, неисправные ПРА, перегоревшие лампы.</w:t>
            </w:r>
          </w:p>
          <w:p w14:paraId="708ACC0B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Электрическая проводка в жилых комнатах второго этажа выполнена алюминиевыми проводами, изоляция осыпается, имеются оголённые участки, скрутки окислены.</w:t>
            </w:r>
          </w:p>
          <w:p w14:paraId="26285528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Светильники на кухнях второго этажа в количестве 6 шт имеют повреждения корпусов, неисправные ПРА, перегоревшие лампы.</w:t>
            </w:r>
          </w:p>
          <w:p w14:paraId="30EDBBDB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Светильники в санузлах второго этажа в количестве 3 шт имеют повреждения корпусов, следы воздействия влаги, коррозию контактов, неисправные ПРА, перегоревшие лампы.</w:t>
            </w:r>
          </w:p>
          <w:p w14:paraId="5625CADD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Светильники в коридорах второго этажа в количестве 4 шт имеют повреждения корпусов, отражателей, неисправные ПРА, перегоревшие лампы.</w:t>
            </w:r>
          </w:p>
          <w:p w14:paraId="5567F801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Кабели в коридорах второго этажа в количестве 224,4 м имеют повреждения изоляции, следы перегрева.</w:t>
            </w:r>
          </w:p>
          <w:p w14:paraId="765534BC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Светильники в местах общего пользования в количестве 8 шт имеют повреждения корпусов, отражателей, неисправные ПРА, перегоревшие лампы.</w:t>
            </w:r>
          </w:p>
          <w:p w14:paraId="4B1B852B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Кабели в МОП в количестве 224,4 м имеют повреждения изоляции.</w:t>
            </w:r>
          </w:p>
          <w:p w14:paraId="24E941BD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Люминесцентные светильники в подвальном помещении в количестве 30 шт имеют повреждения корпусов, неисправные ПРА, перегоревшие лампы.</w:t>
            </w:r>
          </w:p>
          <w:p w14:paraId="6CCC1336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Кабели в подвале длиной 240 м имеют повреждения изоляции, следы перегрева, обрывы.</w:t>
            </w:r>
          </w:p>
          <w:p w14:paraId="6B64FC87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Одноклавишные выключатели в количестве 6 шт имеют механические повреждения, коррозию, ослабленные контакты.</w:t>
            </w:r>
          </w:p>
          <w:p w14:paraId="07A69935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Поручни на лестничном марше длиной 10 м имеют царапины, утрату лакового покрытия.</w:t>
            </w:r>
          </w:p>
          <w:p w14:paraId="7294CF2A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Металлические решетки в количестве 12,5 м² имеют коррозию, отслоение краски.</w:t>
            </w:r>
          </w:p>
          <w:p w14:paraId="7A44E2D9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В вводно-распределительном устройстве автоматический выключатель на ток до 100 А в количестве 1 шт имеет повреждения корпуса, трещины, следы нагрева, ослабленные контактные зажимы, деформацию рычага включения.</w:t>
            </w:r>
          </w:p>
          <w:p w14:paraId="1C6E6DED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Вводной щиток в количестве 1 шт имеет повреждения корпуса, коррозию, нарушение целостности дверец, следы перегрева, ослабленные крепления, разрушение изоляции шин.</w:t>
            </w:r>
          </w:p>
          <w:p w14:paraId="59039C7B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В этажных щитах автоматические выключатели на ток до 25 А в количестве 6 шт имеют заедание рычагов включения, ослабленные контактные зажимы, следы копоти и нагара.</w:t>
            </w:r>
          </w:p>
          <w:p w14:paraId="4D9D82AE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Щитки осветительные в количестве 2 шт имеют повреждения корпусов, ослабленные контакты.</w:t>
            </w:r>
          </w:p>
          <w:p w14:paraId="1752D2E7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Групповые щитки в количестве 2 шт имеют повреждения корпусов, ослабленные контакты, коррозию внутренних элементов.</w:t>
            </w:r>
          </w:p>
          <w:p w14:paraId="1990E528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Кабели стояков в количестве 120 м имеют повреждения изоляции, следы перегрева, растрескивание, механические повреждения.</w:t>
            </w:r>
          </w:p>
          <w:p w14:paraId="2F476C99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Автоматические выключатели в стояках в количестве 6 шт имеют повреждения корпусов, ослабленные контактные зажимы.</w:t>
            </w:r>
          </w:p>
          <w:p w14:paraId="4FB37EF4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Кабели</w:t>
            </w:r>
            <w:r>
              <w:rPr>
                <w:rFonts w:hint="default" w:cs="Times New Roman"/>
                <w:sz w:val="19"/>
                <w:szCs w:val="19"/>
                <w:lang w:val="ru-RU"/>
              </w:rPr>
              <w:t>,проведенные, от вводного щита до стояка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 xml:space="preserve"> в количестве 75 м имеют повреждения изоляции, перетирания в местах прохода через стены, следы воздействия влаги и перегрева.</w:t>
            </w:r>
          </w:p>
          <w:p w14:paraId="2633CEDA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cs="Times New Roman"/>
                <w:sz w:val="19"/>
                <w:szCs w:val="19"/>
                <w:lang w:val="ru-RU"/>
              </w:rPr>
              <w:t>В вводном щите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 xml:space="preserve"> автоматические выключатели в количестве 6 шт имеют повреждения.</w:t>
            </w:r>
          </w:p>
          <w:p w14:paraId="59380CA4">
            <w:pP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Работы необходимо выполнить согласно примерного (укрупненного) перечня строительно-монтажных работ.</w:t>
            </w:r>
          </w:p>
          <w:p w14:paraId="43CB8C88">
            <w:pPr>
              <w:jc w:val="center"/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(описание дефектов, их места нахождения, площадь, объем)</w:t>
            </w:r>
          </w:p>
          <w:p w14:paraId="1599AF43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 xml:space="preserve">Комиссией установлено наличие стесненных и усложненных условий производства работ, которые </w:t>
            </w:r>
          </w:p>
          <w:p w14:paraId="430E0A8D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характеризуются следующими факторами: К=1.0</w:t>
            </w:r>
          </w:p>
        </w:tc>
      </w:tr>
      <w:tr w14:paraId="4295DD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10490" w:type="dxa"/>
            <w:tcBorders>
              <w:bottom w:val="single" w:color="auto" w:sz="4" w:space="0"/>
            </w:tcBorders>
          </w:tcPr>
          <w:p w14:paraId="44E594D5">
            <w:pPr>
              <w:jc w:val="center"/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(перечень факторов)</w:t>
            </w:r>
          </w:p>
        </w:tc>
      </w:tr>
      <w:tr w14:paraId="1EEB99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right w:val="nil"/>
            </w:tcBorders>
          </w:tcPr>
          <w:p w14:paraId="7E5E3DEB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Работы следует производить с применением следующих механизмов: в соответствии с локальной сметой</w:t>
            </w:r>
            <w:r>
              <w:rPr>
                <w:rFonts w:hint="default" w:cs="Times New Roman"/>
                <w:sz w:val="19"/>
                <w:szCs w:val="19"/>
                <w:lang w:val="ru-RU"/>
              </w:rPr>
              <w:t xml:space="preserve"> №2</w:t>
            </w:r>
            <w:bookmarkStart w:id="0" w:name="_GoBack"/>
            <w:bookmarkEnd w:id="0"/>
          </w:p>
        </w:tc>
      </w:tr>
      <w:tr w14:paraId="16D149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left w:val="nil"/>
              <w:bottom w:val="single" w:color="auto" w:sz="4" w:space="0"/>
              <w:right w:val="nil"/>
            </w:tcBorders>
          </w:tcPr>
          <w:p w14:paraId="72969AFF">
            <w:pPr>
              <w:jc w:val="center"/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(грузоподъемные механизмы, люльки электрические, автовышки)</w:t>
            </w:r>
          </w:p>
        </w:tc>
      </w:tr>
      <w:tr w14:paraId="5BB99F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31D5C23">
            <w:pPr>
              <w:spacing w:before="120"/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en-US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Другие сведения, учитываемые при определении стоимости работ: отсутствуют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en-US"/>
              </w:rPr>
              <w:t xml:space="preserve"> (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К=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en-US"/>
              </w:rPr>
              <w:t>1.0)</w:t>
            </w:r>
          </w:p>
        </w:tc>
      </w:tr>
      <w:tr w14:paraId="667952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37EA655">
            <w:pPr>
              <w:spacing w:before="120"/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Дата начала разработки сметной документации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en-US"/>
              </w:rPr>
              <w:t>:</w:t>
            </w:r>
            <w:r>
              <w:rPr>
                <w:rFonts w:hint="default"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01.0</w:t>
            </w:r>
            <w:r>
              <w:rPr>
                <w:rFonts w:hint="default" w:cs="Times New Roman"/>
                <w:sz w:val="19"/>
                <w:szCs w:val="19"/>
                <w:lang w:val="ru-RU"/>
              </w:rPr>
              <w:t>7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.2026</w:t>
            </w:r>
            <w:r>
              <w:rPr>
                <w:rFonts w:hint="default" w:cs="Times New Roman"/>
                <w:sz w:val="19"/>
                <w:szCs w:val="19"/>
                <w:lang w:val="ru-RU"/>
              </w:rPr>
              <w:t>.</w:t>
            </w:r>
          </w:p>
        </w:tc>
      </w:tr>
      <w:tr w14:paraId="1FDB45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CED334E">
            <w:pPr>
              <w:spacing w:before="120"/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Дата начала выполнения строительных, специальных, монтажных, пусконаладочных работ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en-US"/>
              </w:rPr>
              <w:t>:</w:t>
            </w:r>
            <w:r>
              <w:rPr>
                <w:rFonts w:hint="default" w:cs="Times New Roman"/>
                <w:sz w:val="19"/>
                <w:szCs w:val="19"/>
                <w:lang w:val="ru-RU"/>
              </w:rPr>
              <w:t xml:space="preserve"> дата заключения договора.</w:t>
            </w:r>
          </w:p>
        </w:tc>
      </w:tr>
      <w:tr w14:paraId="0EAD4D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37C0099">
            <w:pPr>
              <w:spacing w:before="120"/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 xml:space="preserve">Продолжительность выполнения </w:t>
            </w:r>
            <w:r>
              <w:rPr>
                <w:rFonts w:hint="default" w:ascii="Times New Roman" w:hAnsi="Times New Roman" w:cs="Times New Roman"/>
                <w:sz w:val="19"/>
                <w:szCs w:val="19"/>
              </w:rPr>
              <w:t>строительных, специальных, монтажных, пусконаладочных работ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en-US"/>
              </w:rPr>
              <w:t xml:space="preserve">: </w:t>
            </w:r>
            <w:r>
              <w:rPr>
                <w:rFonts w:hint="default" w:cs="Times New Roman"/>
                <w:sz w:val="19"/>
                <w:szCs w:val="19"/>
                <w:lang w:val="ru-RU"/>
              </w:rPr>
              <w:t>2</w:t>
            </w:r>
            <w:r>
              <w:rPr>
                <w:rFonts w:hint="default" w:cs="Times New Roman"/>
                <w:sz w:val="19"/>
                <w:szCs w:val="19"/>
                <w:lang w:val="en-US"/>
              </w:rPr>
              <w:t>4.08.2026-30.09.2026.</w:t>
            </w:r>
          </w:p>
        </w:tc>
      </w:tr>
    </w:tbl>
    <w:p w14:paraId="3AA0B887">
      <w:pPr>
        <w:rPr>
          <w:rFonts w:hint="default" w:ascii="Times New Roman" w:hAnsi="Times New Roman" w:cs="Times New Roman"/>
          <w:sz w:val="19"/>
          <w:szCs w:val="19"/>
        </w:rPr>
      </w:pPr>
    </w:p>
    <w:tbl>
      <w:tblPr>
        <w:tblStyle w:val="7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5"/>
        <w:gridCol w:w="4393"/>
        <w:gridCol w:w="1984"/>
      </w:tblGrid>
      <w:tr w14:paraId="1A8167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bottom w:val="single" w:color="auto" w:sz="4" w:space="0"/>
            </w:tcBorders>
          </w:tcPr>
          <w:p w14:paraId="45325239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en-US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председателя комиссии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color="auto" w:sz="4" w:space="0"/>
            </w:tcBorders>
            <w:vAlign w:val="top"/>
          </w:tcPr>
          <w:p w14:paraId="7461CED4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 xml:space="preserve">Начальник 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 xml:space="preserve">управления </w:t>
            </w:r>
            <w:r>
              <w:rPr>
                <w:rFonts w:hint="default" w:ascii="Times New Roman" w:hAnsi="Times New Roman" w:cs="Times New Roman"/>
                <w:sz w:val="19"/>
                <w:szCs w:val="19"/>
              </w:rPr>
              <w:t>ЦХО</w:t>
            </w:r>
          </w:p>
        </w:tc>
        <w:tc>
          <w:tcPr>
            <w:tcW w:w="1984" w:type="dxa"/>
            <w:tcBorders>
              <w:left w:val="nil"/>
              <w:bottom w:val="single" w:color="auto" w:sz="4" w:space="0"/>
            </w:tcBorders>
            <w:vAlign w:val="top"/>
          </w:tcPr>
          <w:p w14:paraId="66E3363F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И.С.Бугакова</w:t>
            </w:r>
          </w:p>
        </w:tc>
      </w:tr>
      <w:tr w14:paraId="1EE62C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bottom w:val="single" w:color="auto" w:sz="4" w:space="0"/>
            </w:tcBorders>
          </w:tcPr>
          <w:p w14:paraId="728E2F73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en-US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членов комиссии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color="auto" w:sz="4" w:space="0"/>
            </w:tcBorders>
            <w:vAlign w:val="top"/>
          </w:tcPr>
          <w:p w14:paraId="3DBA909E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Заместитель начальника</w:t>
            </w:r>
          </w:p>
        </w:tc>
        <w:tc>
          <w:tcPr>
            <w:tcW w:w="1984" w:type="dxa"/>
            <w:tcBorders>
              <w:left w:val="nil"/>
              <w:bottom w:val="single" w:color="auto" w:sz="4" w:space="0"/>
            </w:tcBorders>
            <w:vAlign w:val="top"/>
          </w:tcPr>
          <w:p w14:paraId="5D449C38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Ю.М.Заграбский</w:t>
            </w:r>
          </w:p>
        </w:tc>
      </w:tr>
      <w:tr w14:paraId="4852A8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top w:val="single" w:color="auto" w:sz="4" w:space="0"/>
            </w:tcBorders>
          </w:tcPr>
          <w:p w14:paraId="33BF915F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393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6D3DF17F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</w:tcBorders>
            <w:vAlign w:val="top"/>
          </w:tcPr>
          <w:p w14:paraId="4580BB11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Д.С.Голушко</w:t>
            </w:r>
          </w:p>
        </w:tc>
      </w:tr>
      <w:tr w14:paraId="16D29B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</w:tcPr>
          <w:p w14:paraId="77ECBB1D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393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6DCD6D9C">
            <w:pPr>
              <w:tabs>
                <w:tab w:val="center" w:pos="3223"/>
              </w:tabs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196508CD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О.И.Дубина</w:t>
            </w:r>
          </w:p>
        </w:tc>
      </w:tr>
    </w:tbl>
    <w:p w14:paraId="44FC98FE">
      <w:pPr>
        <w:autoSpaceDE/>
        <w:autoSpaceDN/>
        <w:spacing w:after="200" w:line="276" w:lineRule="auto"/>
        <w:rPr>
          <w:rFonts w:hint="default" w:ascii="Times New Roman" w:hAnsi="Times New Roman" w:cs="Times New Roman"/>
          <w:sz w:val="19"/>
          <w:szCs w:val="19"/>
        </w:rPr>
      </w:pPr>
      <w:r>
        <w:rPr>
          <w:rFonts w:hint="default" w:ascii="Times New Roman" w:hAnsi="Times New Roman" w:cs="Times New Roman"/>
          <w:sz w:val="19"/>
          <w:szCs w:val="19"/>
        </w:rPr>
        <w:br w:type="page"/>
      </w:r>
    </w:p>
    <w:p w14:paraId="30596907">
      <w:pPr>
        <w:pStyle w:val="10"/>
        <w:jc w:val="center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>ПРИМЕРНЫЙ (УКРУПНЕННЫЙ) ПЕРЕЧЕНЬ ВИДОВ СТРОИТЕЛЬНО-МОНТАЖНЫХ РАБОТ</w:t>
      </w:r>
    </w:p>
    <w:p w14:paraId="65147790">
      <w:pPr>
        <w:pStyle w:val="10"/>
        <w:rPr>
          <w:rFonts w:hint="default" w:ascii="Times New Roman" w:hAnsi="Times New Roman" w:cs="Times New Roman"/>
          <w:sz w:val="20"/>
          <w:szCs w:val="20"/>
        </w:rPr>
      </w:pPr>
    </w:p>
    <w:tbl>
      <w:tblPr>
        <w:tblStyle w:val="7"/>
        <w:tblW w:w="10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6024"/>
        <w:gridCol w:w="1347"/>
        <w:gridCol w:w="1134"/>
        <w:gridCol w:w="1612"/>
      </w:tblGrid>
      <w:tr w14:paraId="19944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00" w:hRule="atLeast"/>
          <w:jc w:val="center"/>
        </w:trPr>
        <w:tc>
          <w:tcPr>
            <w:tcW w:w="480" w:type="dxa"/>
            <w:vAlign w:val="center"/>
          </w:tcPr>
          <w:p w14:paraId="6FE88869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№ пп</w:t>
            </w:r>
          </w:p>
        </w:tc>
        <w:tc>
          <w:tcPr>
            <w:tcW w:w="6024" w:type="dxa"/>
            <w:vAlign w:val="center"/>
          </w:tcPr>
          <w:p w14:paraId="71ED90CF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Виды выполняемых строительно-монтажных работ</w:t>
            </w:r>
          </w:p>
        </w:tc>
        <w:tc>
          <w:tcPr>
            <w:tcW w:w="1347" w:type="dxa"/>
            <w:vAlign w:val="center"/>
          </w:tcPr>
          <w:p w14:paraId="72B704C5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14:paraId="3DDFEADF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Количество</w:t>
            </w:r>
          </w:p>
        </w:tc>
        <w:tc>
          <w:tcPr>
            <w:tcW w:w="1612" w:type="dxa"/>
            <w:vAlign w:val="center"/>
          </w:tcPr>
          <w:p w14:paraId="48A18091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14:paraId="2BE28ADF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982E3D8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D6B8CB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Сплошная очистка оштукатуренных поверхностей от красок клеевых или казеиновых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201371F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3AC6B69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3.7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A1A277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1C9D0EB6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CF6461C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2.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EEC636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Протравка цементной штукатурки нейтрализующим раствором потолков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DAD7DD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3C0A541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3.7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90586C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3BA72F36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04A300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3.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921B3E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Шпатлевание по штукатурке и бетонным поверхностям потолков за два раза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CFF1DE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ПОВЕРХНОСТИ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229F15E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3.7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1D7891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72D38691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7CB10F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4.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456D89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Грунтование внутренних поверхностей стен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2BF817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7D70BC0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3.7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EA83EA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6E742789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7DE4B5B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5.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5FDC47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Окраска потолков поливинилацетатными водоэмульсионными составами простая по штукатурке и сборным конструкциям, подготовленным под окраску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365E97C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100М2ОКРАШИВАЕМОЙПОВ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7BB0A00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3.7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7B4E36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7FDB894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91D9C4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6.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000D35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Снятие простых и улучшенных обоев в помещениях площадью более 5 м2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AB79295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F7F34E6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  9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1D29DB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34856AC6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42E570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7.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0CCEF6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Протравка цементной штукатурки нейтрализующим раствором стен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109DA33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204B9CF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 10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59079A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49DC6765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D5E00DF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8.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A546E2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Ремонт штукатурки внутренних стен по камню и бетону цементно-известковым раствором площадью до 1 м2 толщиной слоя до 20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41209C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30D3789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1.5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18575E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053AA1AA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7777B03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9.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DB6FC7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Сплошное выравнивание штукатурки стен цементно-известковым раствором при толщине намета до 5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FFFCA3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2FDF5F9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 10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D248AC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129FB8A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558AC8F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10.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5E0AD76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Декоративная штукатурка типа "карта мира" внутренних поверхностей стен мелкой фракции 0,5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76B5498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ПОВЕРХНОСТИ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B99250F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 10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2F821F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43D6BADC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47BACE5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11.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7A498F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Акриловая окраска стен внутри помещений по декоративной штукатурке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08C47E5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0AED6B7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 10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6FD8A4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44C307F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FCB550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12.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688BAF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Смена внутренней облицовки стен из керамической плитки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67A5B85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F15CE77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0.78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9E7A34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5B86F6F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91557F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13.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2DB576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Ремонт штукатурки внутренних стен по камню и бетону цементно-известковым раствором площадью до 1 м2 толщиной слоя до 20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3B59DC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972C96F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0.25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A6A7F9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692CA20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3BC3C36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14.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75EDA7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Разборка деревянных плинтусов и из пластмассовых материалов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CEF712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100 М РАЗБИРАЕМОГО П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8D3C26D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  4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D6955B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736C9C33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0506B1C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15.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82A147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Устройство самонивелирующихся стяжек по железобетонным конструкциям толщиной 5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15F3C3E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D9706C5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3.8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EB6ACA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333CA3D5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8B1420C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16.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33F8108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Устройство самонивелирующихся стяжек по железобетонным конструкциям добавлять (или исключать) на каждый 1 мм изменения толщины стяжки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645CC0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EAFE966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  4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99E03F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26A6A61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865FF2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17.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BF9DCF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Устройство гомогенного покрытия на клее со свариванием полотнищ в стыках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B9F0E93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100М2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FFF209B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3.8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928FE3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663429C8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23DD9A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18.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9D2CE33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Устройство поливинилхлоридных плинтусов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73D7D2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CF6258A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  4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0B1513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5A978F81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A33BA1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19.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D77F04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Смена покрытия пола из керамических плиток на растворе, на плитку на клею, по цементной стяжке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D49DCD6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100 М2 СМЕНЯЕМОГО ПО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5A9E00C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0.15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051230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38D5EA2D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369406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20.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7D9530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Устройство и разборка лесов внутренних инвентарных при высоте помещения до 6 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7537E5F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100 М2 ГОРИЗОНТАЛЬНО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923F754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0.116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D40BCF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09CD238F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185A25C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21.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EB2470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Сплошная очистка оштукатуренных поверхностей от красок клеевых или казеиновых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85B22A6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B4CF02D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0.3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A6DF30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465E28EA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DD9E6B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22.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B75A69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Протравка цементной штукатурки нейтрализующим раствором потолков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B83F49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04A7476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0.3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628A3E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5BA97AA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554824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23.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616E5D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Грунтование поверхностей потолков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77D23BB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6D08B9D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0.3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88AEE0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6D34E71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FD22F4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24.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D6BB65F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Окраска по штукатурке потолков поливинилацетатными водоэмульсионными составами улучшенная, прим. структурн.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840013F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100М2ОКРАШИВАЕМОЙПОВ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A7CCA91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0.3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74001B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10FD6FC3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1918086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25.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5FC4635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Протравка цементной штукатурки нейтрализующим раствором стен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A1E3B9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4DFFB20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0.7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B1BF1B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54D07DE1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5B5568B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26.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8C5F00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Ремонт штукатурки внутренних стен по камню и бетону цементно-известковым раствором площадью до 1 м2 толщиной слоя до 20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C954A93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65ADF1D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0.3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2E4316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2B6AAB15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D7A073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27.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D749B95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Сплошное выравнивание штукатурки стен полимерцементным раствором при толщине намета до 10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D81769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AAFB2C3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0.7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699AF6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3C486249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63204B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28.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7EADFC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Шпатлевание по штукатурке и бетонным поверхностям внутренних стен за два раза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896C6B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ПОВЕРХНОСТИ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B51CE31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0.45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600FBB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3195E35E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FEF4CFB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29.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A69177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Декоративная штукатурка типа "карта мира" внутренних поверхностей стен мелкой фракции 0,5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CB5373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ПОВЕРХНОСТИ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F145223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0.7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9FC6AE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4D360D6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E40650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30.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7710CF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Акриловая окраска стен внутри помещений по декоративной штукатурке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70A715C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6ABC145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0.7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224ECD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71874483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DACF6B8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31.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F81C39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Смена прямой части гладких поручней из твердых пород дерева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038598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100 М СМЕНЯЕМЫХ ЧАСТ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CCF97A9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0.1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FA25C2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2B0AA99B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D5C48E7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32.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865B4BE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Окраска масляными составами деревянных поручней с покрытием лаком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0D38303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D55E774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0.1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9D0D0E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0C87818E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CA8A48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33.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CBBA7E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Окраска масляными составами ранее окрашенных металлических решеток и оград без рельефа за 1 раз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624335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100М2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5D33B58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0.125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988088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748B6A69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581D52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34.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0DA9488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Снятие дверных полотен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C80DFB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ПОЛОТЕН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712BC00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0.756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C35472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4C4A875E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37E258C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35.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97338D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Демонтаж дверных коробок в каменных стенах с отбивкой штукатурки в откосах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4574BF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ШТ.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4094838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0.46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248D39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58DBFD3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237FBCF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36.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8C42C2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Установка дверных коробок в каменных стенах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8DEF35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C293CC5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0.756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0D434F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057F2331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A8D5CA8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37.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C28455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Установка полотен внутренних межкомнатных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FF7F55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ПОЛОТЕН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68AE397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0.46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49F66A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55BECD5D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975CABE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38.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6EFC0D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Герметизация мест примыкания оконных (дверных балконных) блоков к кирпичным стенам полиуретановой пеной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6C63F57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E78C5C6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2.218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47F641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6FCDADF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3D95A0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39.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45E9D73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Установка наличника из МДФ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CCB0A6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45A47FD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2.218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888E72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1EECA09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096BA36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40.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172845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Установка доборов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14C6FA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C631B92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2.218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25B710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0543946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6D91758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41.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1617E8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Смена светильников с люминесцентными лампами с количеством до 4 ламп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4408E9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ШТ.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BA9EBA8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0.48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C233A2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054280D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CA0D447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42.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0FC610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Демонтаж групповых щитков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D221DD8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ПРИБОРОВ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0DFCBAF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0.02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95E36D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34125B8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354E947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43.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B8645B3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Кабель трех-пятижильный сечением жилы до 16 мм2 по строительным конструкциям (стенам, потолкам) с установкой ответвительных коробок, крепление полосками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92CB5FF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34EECE6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1.05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E317BC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7CA5A913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F4DB716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44.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375A28E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Пробивка борозд в кирпичных стенах для устройства электропроводки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2E9FA13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52B989A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4.1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89FC6D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608E97E9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A54490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45.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E8310A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КАБЕЛЬ ДВУХ-ЧЕТЫРЕХЖИЛЬНЫЙ СЕЧЕНИЕМ ЖИЛЫ ДО 6 ММ2 В ГОТОВЫХ БОРОЗДАХ (ШТРАБАХ) С УСТАНОВКОЙ ОТВЕТВИТЕЛЬНЫХ КОРОБОК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523830E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E67917E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4.1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456DB4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6D60A9DE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966B9DB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46.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4F4FC3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Заделка борозд в бетонных стенах шириной до 50 мм, глубиной до 20 мм, прим.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57BEABF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DE98066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4.1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EF88D1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22AEFB5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06191B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47.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A204B96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Демонтаж Кабель трех-пятижильный сечением жилы до 16 мм2 с креплением накладными скобами, полосками с установкой ответвительных коробок, крепление пристрелкой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4008A1E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3BF6576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5.2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A41B10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70AC7EB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DEC4FB5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48.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DBAA13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Демонтаж Кабель трех-пятижильный сечением жилы до 6 мм2 в проложенных трубах, коробах (кабель-каналах)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BC7288C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26B68D7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1.2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A1BBBF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351177C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485BAF3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49.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961C3FC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Кабель трех-пятижильный сечением жилы до 6 мм2 в проложенных трубах, коробах (кабель-каналах)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6A86DD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68BB6E4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1.2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F40931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14582095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A2C614F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50.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39DFC0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Гребенка кабельная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ED95FD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 ШТ.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43EC51F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4.8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1D266E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0E89D0A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3E6A6B5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51.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296388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Автомат одно-, двух-, трехполюсный, устанавливаемый на конструкции на стене или колонне, ток до 25 А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8039DE3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ШТ.  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DCCD732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 24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6868D1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0530CDB1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8155487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52.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558A70B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Автомат одно-, двух-, трехполюсный, устанавливаемый на конструкции на стене или колонне, ток до 100 А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50D2F5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ШТ.  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5DD9DA8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  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F5FE7C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531D1B5A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C4FAF7B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53.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80BD3A7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Смена провода сечением до 16 мм2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8C3A2EE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1000 М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44E6890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0.066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0E4FEE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4861052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EAF26E3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54.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073881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Кабель трех-пятижильный сечением жилы до 16 мм2 по строительным конструкциям (стенам, потолкам) с установкой ответвительных коробок, крепление полосками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B399C7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C34A2ED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2.6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5B372F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331212F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D0F8567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55.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77DB14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Кабель-каналы ПВХ, сечение до 25 х 25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C061FF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2046120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1.6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0EFD24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4B6CB2F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76D584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56.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8DF920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Кабель трех-пятижильный сечением жилы до 6 мм2 в проложенных трубах, коробах (кабель-каналах)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3F0E26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B2AE33C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2.2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5C4FC3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13320FA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419D637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57.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E3BCFD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Смена светильников с люминесцентными лампами с количеством до 4 ламп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7A0B54F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ШТ.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B586181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0.08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A1687A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10397FEA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28E37E8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58.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5037D66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Щитки осветительные, устанавливаемые на стене распорными дюбелями, масса щитка до 6 кг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1EE7BC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ШТ.  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50FB4AD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  2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92FE7B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0E2672D6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82C403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59.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4A8F6F7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Щиток силовой с рубильником и предохранителями с устройством ограждения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1175258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ШТ.  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6BEFA66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  2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98DB6C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1BBD455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41042D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60.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EE1672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Демонтаж умывальников и раковин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83E5733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ПРИБОРОВ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AA3FCD2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0.06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26CE17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2612079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719CD2F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61.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3E14ED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Установка умывальников и раковин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59AE5A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КОМПЛ.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269E795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0.06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E5E86B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61DCCB51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CB9367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62.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86A750E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Смена гибких подводок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719520E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ПРИБОРОВ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16DD73A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0.06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E69488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190C455A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F6A6C4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63.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0C7C70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Смена сифонов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B2AB05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ПРИБОРОВ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FBC6CF9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0.06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AD6518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3DC036DF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6CD5C4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64.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F5A97D8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Смена унитазов типа "компакт"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17FF0D8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ПРИБОРОВ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4474ADC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0.06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0FC331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0CD03F91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205DD76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65.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60DA02F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Смена манжет резиновых к унитазам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3C6D3E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ПРИБОРОВ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DBC6B43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0.06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6BA61C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25404C0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C23446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66.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0046CD3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Смена ванн стальных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4CFBE16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ПРИБОРОВ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0BC06E4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0.06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613BCF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16848321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EB10ACC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67.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8F809A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Прокладка трубопроводов водоснабжения из полипропиленовых труб, при сборке узлов в построечных условиях в зданиях кирпичных и из ячеистых блоков диаметром 20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E981C5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C8353E6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0.6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367DCB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10D8EB8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4A74D2C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68.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148761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Врезки в действующие внутренние сети трубопроводов отопления и водоснабжения диаметром 20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3E61F0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ВРЕЗКА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E401F04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 12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F29207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0CDF75F8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EF218DC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69.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8B0A05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Смена вентилей и клапанов обратных муфтовых диаметром до 20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B030896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ШТ.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E6D2F11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1.26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B39172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6E902C1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3BD5D5E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70.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2B3DAC8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Разборка трубопроводов из чугунных канализационных труб диаметром 50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8DCF96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ТРУБОПРОВОДОВ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058E0F3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0.3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BA9FC6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5FFB6F91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BF790C6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71.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379B48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Прокладка трубопроводов канализации из полиэтиленовых труб диаметром 50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F0E71A8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ТРУБОПРОВОДОВ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82B2E18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0.3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94367E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4D7F45E8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BF3E7D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72.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711041B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Разборка трубопроводов из чугунных канализационных труб диаметром 100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2D76F15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ТРУБОПРОВОДОВ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DCD21FD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0.24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9DCAF0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1E2B1DC3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6A9C4B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73.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9EBE4B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Прокладка трубопроводов канализации из полиэтиленовых труб диаметром 100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9B10FB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ТРУБОПРОВОДОВ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8B5199B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0.24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A40A47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7B47043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99B05FC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74.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B41548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Врезки в действующие внутренние сети трубопроводов канализации диаметром 50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454EA4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ВРЕЗКА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8AB9B54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  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72A594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1BC3BEE6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E79AFEF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75.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D5F4AB3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Пробивка в кирпичных стенах отверстий, диаметром 50-75 мм, для водогазопроводных труб при толщине стен в 2 кирпича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BC19E0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ОТВЕРСТИЙ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DD75233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0.09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792D18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6BEE3F1B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F7F347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76.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E0D0BA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Заделка отверстий в местах прохода трубопроводов в кирпичных стенах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583FB2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ОТВЕРСТИЙ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345DA15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0.09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CC4134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</w:tbl>
    <w:p w14:paraId="1315E8EC">
      <w:pPr>
        <w:rPr>
          <w:rFonts w:hint="default" w:ascii="Times New Roman" w:hAnsi="Times New Roman" w:cs="Times New Roman"/>
          <w:sz w:val="20"/>
          <w:szCs w:val="20"/>
        </w:rPr>
      </w:pPr>
    </w:p>
    <w:tbl>
      <w:tblPr>
        <w:tblStyle w:val="7"/>
        <w:tblW w:w="906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2268"/>
        <w:gridCol w:w="1451"/>
        <w:gridCol w:w="1568"/>
        <w:gridCol w:w="236"/>
        <w:gridCol w:w="2268"/>
      </w:tblGrid>
      <w:tr w14:paraId="3B8A3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0B9BE09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2EDA7FAD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Составил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A5C3125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Заместитель начальника УЦХО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</w:tcPr>
          <w:p w14:paraId="1FFC9D79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0A7624E2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3A0AEB7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2E653938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55635CC4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Ю.М.Заграбский</w:t>
            </w:r>
          </w:p>
        </w:tc>
      </w:tr>
      <w:tr w14:paraId="471B9B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43F66CA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1" w:type="dxa"/>
            <w:gridSpan w:val="5"/>
            <w:tcBorders>
              <w:left w:val="nil"/>
              <w:bottom w:val="nil"/>
              <w:right w:val="nil"/>
            </w:tcBorders>
          </w:tcPr>
          <w:p w14:paraId="36132F75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(должность служащего)                                       (подпись)                                             (инициалы, фамилия)</w:t>
            </w:r>
          </w:p>
        </w:tc>
      </w:tr>
    </w:tbl>
    <w:p w14:paraId="1E95372D">
      <w:pPr>
        <w:rPr>
          <w:rFonts w:hint="default" w:ascii="Times New Roman" w:hAnsi="Times New Roman" w:cs="Times New Roman"/>
          <w:sz w:val="20"/>
          <w:szCs w:val="20"/>
        </w:rPr>
      </w:pPr>
    </w:p>
    <w:p w14:paraId="537194C0">
      <w:pPr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>« _____ » _________________ 20 2</w:t>
      </w:r>
      <w:r>
        <w:rPr>
          <w:rFonts w:hint="default" w:ascii="Times New Roman" w:hAnsi="Times New Roman" w:cs="Times New Roman"/>
          <w:sz w:val="20"/>
          <w:szCs w:val="20"/>
          <w:lang w:val="ru-RU"/>
        </w:rPr>
        <w:t>6</w:t>
      </w:r>
      <w:r>
        <w:rPr>
          <w:rFonts w:hint="default" w:ascii="Times New Roman" w:hAnsi="Times New Roman" w:cs="Times New Roman"/>
          <w:sz w:val="20"/>
          <w:szCs w:val="20"/>
        </w:rPr>
        <w:t xml:space="preserve"> г.</w:t>
      </w:r>
    </w:p>
    <w:p w14:paraId="20835C54">
      <w:pPr>
        <w:pStyle w:val="10"/>
        <w:jc w:val="center"/>
        <w:rPr>
          <w:rFonts w:hint="default" w:ascii="Times New Roman" w:hAnsi="Times New Roman" w:cs="Times New Roman"/>
          <w:sz w:val="20"/>
          <w:szCs w:val="20"/>
        </w:rPr>
      </w:pPr>
    </w:p>
    <w:sectPr>
      <w:footerReference r:id="rId5" w:type="default"/>
      <w:pgSz w:w="11906" w:h="16838"/>
      <w:pgMar w:top="1134" w:right="850" w:bottom="1134" w:left="851" w:header="708" w:footer="708" w:gutter="0"/>
      <w:pgNumType w:start="7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2A46B4">
    <w:pPr>
      <w:pStyle w:val="11"/>
    </w:pPr>
  </w:p>
  <w:p w14:paraId="013D0816">
    <w:pPr>
      <w:pStyle w:val="11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hyphenationZone w:val="141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0A0"/>
    <w:rsid w:val="0000136C"/>
    <w:rsid w:val="00014ECB"/>
    <w:rsid w:val="0002780A"/>
    <w:rsid w:val="00030AEE"/>
    <w:rsid w:val="00032F2F"/>
    <w:rsid w:val="000403B8"/>
    <w:rsid w:val="0004165C"/>
    <w:rsid w:val="000417B7"/>
    <w:rsid w:val="0004727A"/>
    <w:rsid w:val="00054755"/>
    <w:rsid w:val="00075DAE"/>
    <w:rsid w:val="000A0784"/>
    <w:rsid w:val="000A2996"/>
    <w:rsid w:val="000A361F"/>
    <w:rsid w:val="000A3CED"/>
    <w:rsid w:val="000B4962"/>
    <w:rsid w:val="000E2B54"/>
    <w:rsid w:val="000F3E74"/>
    <w:rsid w:val="00101998"/>
    <w:rsid w:val="001228FA"/>
    <w:rsid w:val="001237EE"/>
    <w:rsid w:val="001279CD"/>
    <w:rsid w:val="00146528"/>
    <w:rsid w:val="00153196"/>
    <w:rsid w:val="00166EDD"/>
    <w:rsid w:val="0017113F"/>
    <w:rsid w:val="001723E3"/>
    <w:rsid w:val="001A3C43"/>
    <w:rsid w:val="001C7D7C"/>
    <w:rsid w:val="001D23C1"/>
    <w:rsid w:val="001D6B42"/>
    <w:rsid w:val="002052B1"/>
    <w:rsid w:val="00211B7E"/>
    <w:rsid w:val="00212D2C"/>
    <w:rsid w:val="00216EA4"/>
    <w:rsid w:val="00224FF8"/>
    <w:rsid w:val="00230DA1"/>
    <w:rsid w:val="00251766"/>
    <w:rsid w:val="00260E30"/>
    <w:rsid w:val="002650CA"/>
    <w:rsid w:val="00266C20"/>
    <w:rsid w:val="002939EA"/>
    <w:rsid w:val="00294492"/>
    <w:rsid w:val="002B53BB"/>
    <w:rsid w:val="002C6761"/>
    <w:rsid w:val="002E4AEB"/>
    <w:rsid w:val="002E7878"/>
    <w:rsid w:val="002F62FB"/>
    <w:rsid w:val="00302C5A"/>
    <w:rsid w:val="00322D8E"/>
    <w:rsid w:val="00325B19"/>
    <w:rsid w:val="003272CE"/>
    <w:rsid w:val="003338BA"/>
    <w:rsid w:val="00340083"/>
    <w:rsid w:val="00341A2D"/>
    <w:rsid w:val="00346DBF"/>
    <w:rsid w:val="00362C72"/>
    <w:rsid w:val="00367FD0"/>
    <w:rsid w:val="0039376E"/>
    <w:rsid w:val="003D08BF"/>
    <w:rsid w:val="003F2465"/>
    <w:rsid w:val="003F7CC7"/>
    <w:rsid w:val="0041572A"/>
    <w:rsid w:val="00422AFB"/>
    <w:rsid w:val="004316D2"/>
    <w:rsid w:val="00494DC6"/>
    <w:rsid w:val="00496F4C"/>
    <w:rsid w:val="004A12C3"/>
    <w:rsid w:val="004A4934"/>
    <w:rsid w:val="004A5B8D"/>
    <w:rsid w:val="004C0509"/>
    <w:rsid w:val="004C1E68"/>
    <w:rsid w:val="004D292D"/>
    <w:rsid w:val="004F1C56"/>
    <w:rsid w:val="004F4E57"/>
    <w:rsid w:val="00521EE1"/>
    <w:rsid w:val="005268CC"/>
    <w:rsid w:val="005372FB"/>
    <w:rsid w:val="00537EAE"/>
    <w:rsid w:val="005508B8"/>
    <w:rsid w:val="005751A7"/>
    <w:rsid w:val="005B41A2"/>
    <w:rsid w:val="005B5AEB"/>
    <w:rsid w:val="005C42F5"/>
    <w:rsid w:val="005C49B0"/>
    <w:rsid w:val="005D1694"/>
    <w:rsid w:val="005E0F3D"/>
    <w:rsid w:val="005E2931"/>
    <w:rsid w:val="0060688A"/>
    <w:rsid w:val="00622CED"/>
    <w:rsid w:val="00625D61"/>
    <w:rsid w:val="0064692C"/>
    <w:rsid w:val="0065145B"/>
    <w:rsid w:val="00657B73"/>
    <w:rsid w:val="00665E02"/>
    <w:rsid w:val="006768A7"/>
    <w:rsid w:val="00685D87"/>
    <w:rsid w:val="00685E16"/>
    <w:rsid w:val="006A64CF"/>
    <w:rsid w:val="006A6837"/>
    <w:rsid w:val="006C314C"/>
    <w:rsid w:val="006D7D37"/>
    <w:rsid w:val="007421AF"/>
    <w:rsid w:val="00760BE5"/>
    <w:rsid w:val="00766A75"/>
    <w:rsid w:val="00766CF1"/>
    <w:rsid w:val="00781B01"/>
    <w:rsid w:val="00785851"/>
    <w:rsid w:val="00791901"/>
    <w:rsid w:val="00793569"/>
    <w:rsid w:val="00794AA8"/>
    <w:rsid w:val="007A356B"/>
    <w:rsid w:val="007B09DF"/>
    <w:rsid w:val="007B7F44"/>
    <w:rsid w:val="007E515E"/>
    <w:rsid w:val="008019C4"/>
    <w:rsid w:val="008029CE"/>
    <w:rsid w:val="008049C1"/>
    <w:rsid w:val="00812112"/>
    <w:rsid w:val="00820127"/>
    <w:rsid w:val="00826672"/>
    <w:rsid w:val="008302E1"/>
    <w:rsid w:val="00836D46"/>
    <w:rsid w:val="008403A1"/>
    <w:rsid w:val="00842670"/>
    <w:rsid w:val="0084459A"/>
    <w:rsid w:val="008528A7"/>
    <w:rsid w:val="00861D3F"/>
    <w:rsid w:val="00894764"/>
    <w:rsid w:val="008B0E35"/>
    <w:rsid w:val="008F7E2F"/>
    <w:rsid w:val="0090796E"/>
    <w:rsid w:val="00910710"/>
    <w:rsid w:val="00915E59"/>
    <w:rsid w:val="009442C9"/>
    <w:rsid w:val="009446B6"/>
    <w:rsid w:val="00955613"/>
    <w:rsid w:val="0095604F"/>
    <w:rsid w:val="00967E34"/>
    <w:rsid w:val="00972166"/>
    <w:rsid w:val="0097692D"/>
    <w:rsid w:val="0098136D"/>
    <w:rsid w:val="00984AFF"/>
    <w:rsid w:val="009933BC"/>
    <w:rsid w:val="009938E9"/>
    <w:rsid w:val="009A47E7"/>
    <w:rsid w:val="009D2C48"/>
    <w:rsid w:val="009D547A"/>
    <w:rsid w:val="009E2CFE"/>
    <w:rsid w:val="00A15ADB"/>
    <w:rsid w:val="00A55078"/>
    <w:rsid w:val="00A6253C"/>
    <w:rsid w:val="00A64855"/>
    <w:rsid w:val="00A73CCC"/>
    <w:rsid w:val="00A974AE"/>
    <w:rsid w:val="00AA2A02"/>
    <w:rsid w:val="00AA41D9"/>
    <w:rsid w:val="00AB3D8B"/>
    <w:rsid w:val="00AC4AE4"/>
    <w:rsid w:val="00AD3765"/>
    <w:rsid w:val="00B51C6A"/>
    <w:rsid w:val="00B619A6"/>
    <w:rsid w:val="00BA5406"/>
    <w:rsid w:val="00BA7C00"/>
    <w:rsid w:val="00BB1855"/>
    <w:rsid w:val="00BB6534"/>
    <w:rsid w:val="00BE6D86"/>
    <w:rsid w:val="00BE7DDA"/>
    <w:rsid w:val="00BF3B92"/>
    <w:rsid w:val="00C15479"/>
    <w:rsid w:val="00C15664"/>
    <w:rsid w:val="00C32007"/>
    <w:rsid w:val="00C41295"/>
    <w:rsid w:val="00C62219"/>
    <w:rsid w:val="00C72576"/>
    <w:rsid w:val="00C72D8B"/>
    <w:rsid w:val="00C82F90"/>
    <w:rsid w:val="00C90754"/>
    <w:rsid w:val="00CA3C1D"/>
    <w:rsid w:val="00CC1B77"/>
    <w:rsid w:val="00CC3CFE"/>
    <w:rsid w:val="00CD4195"/>
    <w:rsid w:val="00D20094"/>
    <w:rsid w:val="00D262D4"/>
    <w:rsid w:val="00D571CD"/>
    <w:rsid w:val="00D63620"/>
    <w:rsid w:val="00D739C5"/>
    <w:rsid w:val="00D80F88"/>
    <w:rsid w:val="00D9304B"/>
    <w:rsid w:val="00DB71B4"/>
    <w:rsid w:val="00DE17E1"/>
    <w:rsid w:val="00DE4E30"/>
    <w:rsid w:val="00DF76EC"/>
    <w:rsid w:val="00E01F75"/>
    <w:rsid w:val="00E13E1E"/>
    <w:rsid w:val="00E140BB"/>
    <w:rsid w:val="00E250A0"/>
    <w:rsid w:val="00E263C6"/>
    <w:rsid w:val="00E4038D"/>
    <w:rsid w:val="00E43E20"/>
    <w:rsid w:val="00E55DF7"/>
    <w:rsid w:val="00E729E4"/>
    <w:rsid w:val="00E74BC0"/>
    <w:rsid w:val="00E7713A"/>
    <w:rsid w:val="00E83081"/>
    <w:rsid w:val="00E84473"/>
    <w:rsid w:val="00E8662B"/>
    <w:rsid w:val="00E95E83"/>
    <w:rsid w:val="00EA3FD1"/>
    <w:rsid w:val="00EA7E84"/>
    <w:rsid w:val="00ED49F7"/>
    <w:rsid w:val="00EF5857"/>
    <w:rsid w:val="00EF69D6"/>
    <w:rsid w:val="00F24456"/>
    <w:rsid w:val="00F34731"/>
    <w:rsid w:val="00F5036C"/>
    <w:rsid w:val="00F55F8B"/>
    <w:rsid w:val="00F564B6"/>
    <w:rsid w:val="00F61C99"/>
    <w:rsid w:val="00F65318"/>
    <w:rsid w:val="00F86AC6"/>
    <w:rsid w:val="00FA0FEA"/>
    <w:rsid w:val="00FA46AF"/>
    <w:rsid w:val="00FB057D"/>
    <w:rsid w:val="00FB143F"/>
    <w:rsid w:val="00FB5463"/>
    <w:rsid w:val="00FB765B"/>
    <w:rsid w:val="00FB7B3F"/>
    <w:rsid w:val="05367864"/>
    <w:rsid w:val="095E488E"/>
    <w:rsid w:val="09AA314B"/>
    <w:rsid w:val="0C425E0A"/>
    <w:rsid w:val="0CD96D18"/>
    <w:rsid w:val="14B06BB4"/>
    <w:rsid w:val="19EA4B38"/>
    <w:rsid w:val="1C284578"/>
    <w:rsid w:val="202D0020"/>
    <w:rsid w:val="22CD2E1B"/>
    <w:rsid w:val="279035DE"/>
    <w:rsid w:val="27E05A7F"/>
    <w:rsid w:val="28332641"/>
    <w:rsid w:val="28800220"/>
    <w:rsid w:val="2B8E552D"/>
    <w:rsid w:val="30EB62FC"/>
    <w:rsid w:val="327A19A7"/>
    <w:rsid w:val="344E775A"/>
    <w:rsid w:val="37D20543"/>
    <w:rsid w:val="388F37EC"/>
    <w:rsid w:val="3E1768EB"/>
    <w:rsid w:val="4253789F"/>
    <w:rsid w:val="456F0A69"/>
    <w:rsid w:val="48DF573B"/>
    <w:rsid w:val="4FAA47AF"/>
    <w:rsid w:val="52F030CC"/>
    <w:rsid w:val="562E7F7E"/>
    <w:rsid w:val="56A411A2"/>
    <w:rsid w:val="5CEF0AC8"/>
    <w:rsid w:val="605C1CC4"/>
    <w:rsid w:val="6356634F"/>
    <w:rsid w:val="64991013"/>
    <w:rsid w:val="66E24F04"/>
    <w:rsid w:val="6F5E6DC5"/>
    <w:rsid w:val="7B745E22"/>
    <w:rsid w:val="7BA243E2"/>
    <w:rsid w:val="7DF80A62"/>
    <w:rsid w:val="7E56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14"/>
    <w:semiHidden/>
    <w:unhideWhenUsed/>
    <w:qFormat/>
    <w:uiPriority w:val="99"/>
    <w:pPr>
      <w:keepNext/>
      <w:jc w:val="center"/>
      <w:outlineLvl w:val="1"/>
    </w:pPr>
    <w:rPr>
      <w:sz w:val="24"/>
      <w:szCs w:val="24"/>
    </w:rPr>
  </w:style>
  <w:style w:type="paragraph" w:styleId="4">
    <w:name w:val="heading 3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26"/>
      <w:szCs w:val="26"/>
      <w:lang w:val="en-US" w:eastAsia="zh-CN" w:bidi="ar"/>
    </w:rPr>
  </w:style>
  <w:style w:type="paragraph" w:styleId="5">
    <w:name w:val="heading 4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6"/>
    <w:qFormat/>
    <w:uiPriority w:val="22"/>
    <w:rPr>
      <w:b/>
      <w:bCs/>
    </w:rPr>
  </w:style>
  <w:style w:type="paragraph" w:styleId="9">
    <w:name w:val="Balloon Text"/>
    <w:basedOn w:val="1"/>
    <w:link w:val="18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0">
    <w:name w:val="header"/>
    <w:basedOn w:val="1"/>
    <w:link w:val="15"/>
    <w:unhideWhenUsed/>
    <w:qFormat/>
    <w:uiPriority w:val="99"/>
    <w:pPr>
      <w:tabs>
        <w:tab w:val="center" w:pos="4677"/>
        <w:tab w:val="right" w:pos="9355"/>
      </w:tabs>
    </w:pPr>
  </w:style>
  <w:style w:type="paragraph" w:styleId="11">
    <w:name w:val="footer"/>
    <w:basedOn w:val="1"/>
    <w:link w:val="17"/>
    <w:unhideWhenUsed/>
    <w:qFormat/>
    <w:uiPriority w:val="99"/>
    <w:pPr>
      <w:tabs>
        <w:tab w:val="center" w:pos="4677"/>
        <w:tab w:val="right" w:pos="9355"/>
      </w:tabs>
    </w:pPr>
  </w:style>
  <w:style w:type="paragraph" w:styleId="12">
    <w:name w:val="Normal (Web)"/>
    <w:basedOn w:val="1"/>
    <w:unhideWhenUsed/>
    <w:qFormat/>
    <w:uiPriority w:val="99"/>
    <w:pPr>
      <w:autoSpaceDE/>
      <w:autoSpaceDN/>
      <w:spacing w:before="100" w:beforeAutospacing="1" w:after="100" w:afterAutospacing="1"/>
    </w:pPr>
    <w:rPr>
      <w:sz w:val="24"/>
      <w:szCs w:val="24"/>
    </w:rPr>
  </w:style>
  <w:style w:type="table" w:styleId="13">
    <w:name w:val="Table Grid"/>
    <w:basedOn w:val="7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Заголовок 2 Знак"/>
    <w:basedOn w:val="6"/>
    <w:link w:val="3"/>
    <w:semiHidden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5">
    <w:name w:val="Верхний колонтитул Знак"/>
    <w:basedOn w:val="6"/>
    <w:link w:val="10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6">
    <w:name w:val="Заголовок 1 Знак"/>
    <w:basedOn w:val="6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  <w:lang w:eastAsia="ru-RU"/>
    </w:rPr>
  </w:style>
  <w:style w:type="character" w:customStyle="1" w:styleId="17">
    <w:name w:val="Нижний колонтитул Знак"/>
    <w:basedOn w:val="6"/>
    <w:link w:val="11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8">
    <w:name w:val="Текст выноски Знак"/>
    <w:basedOn w:val="6"/>
    <w:link w:val="9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808D2-EE62-450D-B785-DDA291C4E9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УО ПЕР</Company>
  <Pages>6</Pages>
  <Words>2795</Words>
  <Characters>17604</Characters>
  <Lines>19</Lines>
  <Paragraphs>5</Paragraphs>
  <TotalTime>6</TotalTime>
  <ScaleCrop>false</ScaleCrop>
  <LinksUpToDate>false</LinksUpToDate>
  <CharactersWithSpaces>21979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2022-03-18T13:40:00Z</dcterms:created>
  <dc:creator>-13-13</dc:creator>
  <cp:lastModifiedBy>Goga Pipa</cp:lastModifiedBy>
  <cp:lastPrinted>2026-07-15T09:10:22Z</cp:lastPrinted>
  <dcterms:modified xsi:type="dcterms:W3CDTF">2026-07-15T09:10:57Z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E31F6407576A4685A2D502DD7BCBE193_12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